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1"/>
          <w:sz w:val="36"/>
        </w:rPr>
        <w:t>設備点検チェックシート</w:t>
      </w:r>
      <w:bookmarkStart w:id="0" w:name="_GoBack"/>
      <w:bookmarkEnd w:id="0"/>
    </w:p>
    <w:tbl>
      <w:tblPr>
        <w:tblStyle w:val="18"/>
        <w:tblW w:w="9860" w:type="dxa"/>
        <w:tblInd w:w="29" w:type="dxa"/>
        <w:tblLayout w:type="fixed"/>
        <w:tblLook w:firstRow="1" w:lastRow="0" w:firstColumn="1" w:lastColumn="0" w:noHBand="0" w:noVBand="1" w:val="04A0"/>
      </w:tblPr>
      <w:tblGrid>
        <w:gridCol w:w="1213"/>
        <w:gridCol w:w="3969"/>
        <w:gridCol w:w="4678"/>
      </w:tblGrid>
      <w:tr>
        <w:trPr/>
        <w:tc>
          <w:tcPr>
            <w:tcW w:w="1213" w:type="dxa"/>
            <w:shd w:val="clear" w:color="auto" w:themeFill="accent5" w:themeFillTint="33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設備</w:t>
            </w:r>
          </w:p>
        </w:tc>
        <w:tc>
          <w:tcPr>
            <w:tcW w:w="3969" w:type="dxa"/>
            <w:shd w:val="clear" w:color="auto" w:themeFill="accent5" w:themeFillTint="33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確認項目</w:t>
            </w:r>
          </w:p>
        </w:tc>
        <w:tc>
          <w:tcPr>
            <w:tcW w:w="4678" w:type="dxa"/>
            <w:shd w:val="clear" w:color="auto" w:themeFill="accent5" w:themeFillTint="33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使えない場合の対処</w:t>
            </w:r>
          </w:p>
        </w:tc>
      </w:tr>
      <w:tr>
        <w:trPr>
          <w:trHeight w:val="1021" w:hRule="atLeast"/>
        </w:trPr>
        <w:tc>
          <w:tcPr>
            <w:tcW w:w="1213" w:type="dxa"/>
            <w:vAlign w:val="center"/>
          </w:tcPr>
          <w:p>
            <w:pPr>
              <w:pStyle w:val="17"/>
              <w:spacing w:line="440" w:lineRule="exact"/>
              <w:ind w:left="0" w:leftChars="0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ガス</w:t>
            </w:r>
          </w:p>
        </w:tc>
        <w:tc>
          <w:tcPr>
            <w:tcW w:w="3969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ガス臭くないか。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ガス器具に損傷はないか。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ガスメーターの確認</w:t>
            </w:r>
          </w:p>
        </w:tc>
        <w:tc>
          <w:tcPr>
            <w:tcW w:w="4678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窓を開け、ガス栓を閉める。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ガス、電気、火は使用しない。</w:t>
            </w:r>
          </w:p>
        </w:tc>
      </w:tr>
      <w:tr>
        <w:trPr>
          <w:trHeight w:val="1843" w:hRule="atLeast"/>
        </w:trPr>
        <w:tc>
          <w:tcPr>
            <w:tcW w:w="1213" w:type="dxa"/>
            <w:vAlign w:val="center"/>
          </w:tcPr>
          <w:p>
            <w:pPr>
              <w:pStyle w:val="17"/>
              <w:ind w:left="23" w:leftChars="-13" w:hanging="50" w:hangingChars="14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電気</w:t>
            </w:r>
          </w:p>
          <w:p>
            <w:pPr>
              <w:pStyle w:val="17"/>
              <w:spacing w:line="240" w:lineRule="exact"/>
              <w:ind w:left="1" w:leftChars="-13" w:hanging="28" w:hangingChars="14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ガス漏れが</w:t>
            </w:r>
          </w:p>
          <w:p>
            <w:pPr>
              <w:pStyle w:val="17"/>
              <w:spacing w:line="240" w:lineRule="exact"/>
              <w:ind w:left="1" w:leftChars="-13" w:hanging="28" w:hangingChars="14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ない場合のみ</w:t>
            </w:r>
          </w:p>
        </w:tc>
        <w:tc>
          <w:tcPr>
            <w:tcW w:w="3969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電灯はつくか。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電気器具から異音・異臭はしないか、水につかった形跡はないか。</w:t>
            </w:r>
          </w:p>
        </w:tc>
        <w:tc>
          <w:tcPr>
            <w:tcW w:w="4678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発電機や照明機器など設置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pacing w:val="-2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pacing w:val="-20"/>
                <w:sz w:val="28"/>
              </w:rPr>
              <w:t>異常のある電気器具は使用しない。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pacing w:val="-2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pacing w:val="-20"/>
                <w:sz w:val="28"/>
              </w:rPr>
              <w:t>周辺の停電状況の確認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pacing w:val="-2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pacing w:val="-20"/>
                <w:sz w:val="28"/>
              </w:rPr>
              <w:t>施設のブレーカー状況の確認</w:t>
            </w:r>
          </w:p>
        </w:tc>
      </w:tr>
      <w:tr>
        <w:trPr>
          <w:trHeight w:val="2112" w:hRule="atLeast"/>
        </w:trPr>
        <w:tc>
          <w:tcPr>
            <w:tcW w:w="1213" w:type="dxa"/>
            <w:vAlign w:val="center"/>
          </w:tcPr>
          <w:p>
            <w:pPr>
              <w:pStyle w:val="17"/>
              <w:spacing w:line="440" w:lineRule="exact"/>
              <w:ind w:left="0" w:leftChars="0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水道</w:t>
            </w:r>
          </w:p>
        </w:tc>
        <w:tc>
          <w:tcPr>
            <w:tcW w:w="3969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水は流れるか。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濁りや異臭はないか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できれば</w:t>
            </w:r>
            <w:r>
              <w:rPr>
                <w:rFonts w:hint="eastAsia" w:ascii="BIZ UDPゴシック" w:hAnsi="BIZ UDPゴシック" w:eastAsia="BIZ UDPゴシック"/>
                <w:color w:val="000000" w:themeColor="text1"/>
                <w:sz w:val="28"/>
              </w:rPr>
              <w:t>市町村等による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水質検査を実施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漏水していないか。</w:t>
            </w:r>
          </w:p>
        </w:tc>
        <w:tc>
          <w:tcPr>
            <w:tcW w:w="4678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飲料水の備蓄はあるか。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井戸やプールなど生活用水として利用できる水はないか。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受水槽・高架水槽はあるか。</w:t>
            </w:r>
          </w:p>
        </w:tc>
      </w:tr>
      <w:tr>
        <w:trPr>
          <w:trHeight w:val="2337" w:hRule="atLeast"/>
        </w:trPr>
        <w:tc>
          <w:tcPr>
            <w:tcW w:w="1213" w:type="dxa"/>
            <w:vAlign w:val="center"/>
          </w:tcPr>
          <w:p>
            <w:pPr>
              <w:pStyle w:val="17"/>
              <w:spacing w:line="440" w:lineRule="exact"/>
              <w:ind w:left="0" w:leftChars="0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通信</w:t>
            </w:r>
          </w:p>
        </w:tc>
        <w:tc>
          <w:tcPr>
            <w:tcW w:w="3969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通話できるか。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ＦＡＸが使えるか。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メールは使えるか。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インターネットはつながるか。</w:t>
            </w:r>
          </w:p>
        </w:tc>
        <w:tc>
          <w:tcPr>
            <w:tcW w:w="4678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他の伝達手段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携帯電話、自転車やバイクなど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を確認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28"/>
              </w:rPr>
              <w:t>可能な伝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達手段を用いて、瀬戸内市災害対策本部に通信手段を要請</w:t>
            </w:r>
          </w:p>
        </w:tc>
      </w:tr>
      <w:tr>
        <w:trPr>
          <w:trHeight w:val="845" w:hRule="atLeast"/>
        </w:trPr>
        <w:tc>
          <w:tcPr>
            <w:tcW w:w="1213" w:type="dxa"/>
            <w:vAlign w:val="center"/>
          </w:tcPr>
          <w:p>
            <w:pPr>
              <w:pStyle w:val="17"/>
              <w:spacing w:line="440" w:lineRule="exact"/>
              <w:ind w:left="0" w:leftChars="0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放送</w:t>
            </w:r>
          </w:p>
        </w:tc>
        <w:tc>
          <w:tcPr>
            <w:tcW w:w="3969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8"/>
              </w:rPr>
              <w:t>放送設備（放送室）や無線は使えるか。</w:t>
            </w:r>
          </w:p>
        </w:tc>
        <w:tc>
          <w:tcPr>
            <w:tcW w:w="4678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拡声器・メガホンなどを利用</w:t>
            </w:r>
          </w:p>
        </w:tc>
      </w:tr>
      <w:tr>
        <w:trPr>
          <w:trHeight w:val="870" w:hRule="atLeast"/>
        </w:trPr>
        <w:tc>
          <w:tcPr>
            <w:tcW w:w="1213" w:type="dxa"/>
            <w:vMerge w:val="restart"/>
            <w:vAlign w:val="center"/>
          </w:tcPr>
          <w:p>
            <w:pPr>
              <w:pStyle w:val="17"/>
              <w:spacing w:line="440" w:lineRule="exact"/>
              <w:ind w:left="-169" w:leftChars="-81" w:right="-107" w:rightChars="-51" w:hanging="1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8"/>
              </w:rPr>
              <w:t>トイレ</w:t>
            </w:r>
          </w:p>
        </w:tc>
        <w:tc>
          <w:tcPr>
            <w:tcW w:w="3969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室内は安全か（落下物など危険はないか。）。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便器は使用可能か（破損はないか。）。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下水は流れるか。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水（上水）は出るか。又は周辺は断水・漏水していないか。</w:t>
            </w:r>
          </w:p>
        </w:tc>
        <w:tc>
          <w:tcPr>
            <w:tcW w:w="4678" w:type="dxa"/>
            <w:vAlign w:val="top"/>
          </w:tcPr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井戸やプール、河川の水を汲み置きして排泄後に流す。トイレットペーパーは詰まる原因となるので、流さず、ごみ袋に集めて処分する。</w:t>
            </w:r>
          </w:p>
          <w:p>
            <w:pPr>
              <w:pStyle w:val="17"/>
              <w:numPr>
                <w:ilvl w:val="0"/>
                <w:numId w:val="1"/>
              </w:numPr>
              <w:spacing w:line="440" w:lineRule="exact"/>
              <w:ind w:left="317" w:leftChars="0" w:hanging="317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室内が安全でなく、便器が破損しているような場合は、トイレは使用禁止とし、災害用のトイレを設置する。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※上記表の□内に、○、×を記載してください。</w:t>
      </w:r>
    </w:p>
    <w:sectPr>
      <w:headerReference r:id="rId6" w:type="default"/>
      <w:pgSz w:w="11906" w:h="16838"/>
      <w:pgMar w:top="1440" w:right="1080" w:bottom="56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Pゴシック" w:hAnsi="BIZ UDPゴシック" w:eastAsia="BIZ UDPゴシック"/>
      </w:rPr>
      <w:t>様式２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89646F8"/>
    <w:lvl w:ilvl="0" w:tplc="C3A2CB0A"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622</Characters>
  <Application>JUST Note</Application>
  <Lines>65</Lines>
  <Paragraphs>44</Paragraphs>
  <CharactersWithSpaces>622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石田　敬介</dc:creator>
  <cp:lastModifiedBy>石田　敬介</cp:lastModifiedBy>
  <dcterms:created xsi:type="dcterms:W3CDTF">2026-02-16T09:18:00Z</dcterms:created>
  <dcterms:modified xsi:type="dcterms:W3CDTF">2026-02-16T09:18:00Z</dcterms:modified>
  <cp:revision>0</cp:revision>
</cp:coreProperties>
</file>